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96682"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Andrew Cundy</w:t>
      </w:r>
    </w:p>
    <w:p w14:paraId="180E701B"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 xml:space="preserve">Principal Planning Officer </w:t>
      </w:r>
    </w:p>
    <w:p w14:paraId="7CEF7E57"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Central Bedfordshire Council</w:t>
      </w:r>
    </w:p>
    <w:p w14:paraId="0ACEDB33"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Priory House</w:t>
      </w:r>
    </w:p>
    <w:p w14:paraId="3CBBF64A"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Monks Walk</w:t>
      </w:r>
    </w:p>
    <w:p w14:paraId="11E448A8"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Chicksands</w:t>
      </w:r>
    </w:p>
    <w:p w14:paraId="7DC40B5A"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 xml:space="preserve">Beds    </w:t>
      </w:r>
    </w:p>
    <w:p w14:paraId="64F46FFB" w14:textId="77777777" w:rsidR="000434AC" w:rsidRPr="000434AC" w:rsidRDefault="000434AC" w:rsidP="000434AC">
      <w:pPr>
        <w:pStyle w:val="BodyText2"/>
        <w:jc w:val="both"/>
        <w:rPr>
          <w:rFonts w:ascii="Calibri" w:hAnsi="Calibri" w:cs="Calibri"/>
          <w:sz w:val="24"/>
          <w:szCs w:val="24"/>
        </w:rPr>
      </w:pPr>
      <w:r w:rsidRPr="000434AC">
        <w:rPr>
          <w:rFonts w:ascii="Calibri" w:hAnsi="Calibri" w:cs="Calibri"/>
          <w:sz w:val="24"/>
          <w:szCs w:val="24"/>
        </w:rPr>
        <w:t>SG17 5TQ</w:t>
      </w:r>
    </w:p>
    <w:p w14:paraId="7F9A0637" w14:textId="77777777" w:rsidR="000434AC" w:rsidRPr="000434AC" w:rsidRDefault="000434AC" w:rsidP="000434AC">
      <w:pPr>
        <w:rPr>
          <w:rFonts w:ascii="Calibri" w:hAnsi="Calibri" w:cs="Calibri"/>
          <w:sz w:val="24"/>
          <w:szCs w:val="24"/>
        </w:rPr>
      </w:pPr>
    </w:p>
    <w:p w14:paraId="44D72D33"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Unfortunately, I do not have an email address or use digital services and therefore I am responding by written letter.  </w:t>
      </w:r>
    </w:p>
    <w:p w14:paraId="75E53FEA" w14:textId="1A499667" w:rsidR="000434AC" w:rsidRPr="000434AC" w:rsidRDefault="000434AC" w:rsidP="000434AC">
      <w:pPr>
        <w:rPr>
          <w:rFonts w:ascii="Calibri" w:hAnsi="Calibri" w:cs="Calibri"/>
          <w:b/>
          <w:bCs/>
          <w:sz w:val="24"/>
          <w:szCs w:val="24"/>
        </w:rPr>
      </w:pPr>
      <w:r w:rsidRPr="000434AC">
        <w:rPr>
          <w:rFonts w:ascii="Calibri" w:hAnsi="Calibri" w:cs="Calibri"/>
          <w:b/>
          <w:bCs/>
          <w:sz w:val="24"/>
          <w:szCs w:val="24"/>
        </w:rPr>
        <w:t xml:space="preserve"> I wish to submit my OBJECTION to the amended proposed development on Land East of Coneygate, Meppershall planning application number CB/25/03804/OUT.   Please note that my previous objections are still relevant but in addition I wish to highlight the following:   </w:t>
      </w:r>
    </w:p>
    <w:p w14:paraId="707B62D0" w14:textId="0423356B" w:rsidR="000434AC" w:rsidRPr="000434AC" w:rsidRDefault="000434AC" w:rsidP="000434AC">
      <w:pPr>
        <w:rPr>
          <w:rFonts w:ascii="Calibri" w:hAnsi="Calibri" w:cs="Calibri"/>
          <w:sz w:val="24"/>
          <w:szCs w:val="24"/>
        </w:rPr>
      </w:pPr>
      <w:r w:rsidRPr="000434AC">
        <w:rPr>
          <w:rFonts w:ascii="Calibri" w:hAnsi="Calibri" w:cs="Calibri"/>
          <w:b/>
          <w:bCs/>
          <w:sz w:val="24"/>
          <w:szCs w:val="24"/>
        </w:rPr>
        <w:t>Sewage issues:</w:t>
      </w:r>
      <w:r w:rsidRPr="000434AC">
        <w:rPr>
          <w:rFonts w:ascii="Calibri" w:hAnsi="Calibri" w:cs="Calibri"/>
          <w:sz w:val="24"/>
          <w:szCs w:val="24"/>
        </w:rPr>
        <w:t xml:space="preserve"> The applicants proposed foul-water solution depends on future network upgrades or an agreed phasing plan. This leaves uncertainty over whether essential wastewater infrastructure can be delivered before site occupation, despite Anglian Water’s objection.  A Local Plan-compliant scheme should demonstrate timely, deliverable infrastructure rather than rely on a condition to resolve a fundamental capacity issue.</w:t>
      </w:r>
    </w:p>
    <w:p w14:paraId="488AAA7E" w14:textId="5C1C2675" w:rsidR="000434AC" w:rsidRPr="000434AC" w:rsidRDefault="000434AC" w:rsidP="000434AC">
      <w:pPr>
        <w:rPr>
          <w:rFonts w:ascii="Calibri" w:hAnsi="Calibri" w:cs="Calibri"/>
          <w:sz w:val="24"/>
          <w:szCs w:val="24"/>
        </w:rPr>
      </w:pPr>
      <w:r w:rsidRPr="000434AC">
        <w:rPr>
          <w:rFonts w:ascii="Calibri" w:hAnsi="Calibri" w:cs="Calibri"/>
          <w:b/>
          <w:bCs/>
          <w:sz w:val="24"/>
          <w:szCs w:val="24"/>
        </w:rPr>
        <w:t>Landscape and countryside harm remains unresolved:</w:t>
      </w:r>
      <w:r w:rsidRPr="000434AC">
        <w:rPr>
          <w:rFonts w:ascii="Calibri" w:hAnsi="Calibri" w:cs="Calibri"/>
          <w:sz w:val="24"/>
          <w:szCs w:val="24"/>
        </w:rPr>
        <w:t xml:space="preserve"> The development will erode </w:t>
      </w:r>
      <w:proofErr w:type="spellStart"/>
      <w:r w:rsidRPr="000434AC">
        <w:rPr>
          <w:rFonts w:ascii="Calibri" w:hAnsi="Calibri" w:cs="Calibri"/>
          <w:sz w:val="24"/>
          <w:szCs w:val="24"/>
        </w:rPr>
        <w:t>Meppershall</w:t>
      </w:r>
      <w:r>
        <w:rPr>
          <w:rFonts w:ascii="Calibri" w:hAnsi="Calibri" w:cs="Calibri"/>
          <w:sz w:val="24"/>
          <w:szCs w:val="24"/>
        </w:rPr>
        <w:t>s</w:t>
      </w:r>
      <w:proofErr w:type="spellEnd"/>
      <w:r>
        <w:rPr>
          <w:rFonts w:ascii="Calibri" w:hAnsi="Calibri" w:cs="Calibri"/>
          <w:sz w:val="24"/>
          <w:szCs w:val="24"/>
        </w:rPr>
        <w:t xml:space="preserve">’ </w:t>
      </w:r>
      <w:r w:rsidRPr="000434AC">
        <w:rPr>
          <w:rFonts w:ascii="Calibri" w:hAnsi="Calibri" w:cs="Calibri"/>
          <w:sz w:val="24"/>
          <w:szCs w:val="24"/>
        </w:rPr>
        <w:t xml:space="preserve">rural setting and urbanise the edge of the village.   The proposal is that homes on the higher elevation of the south would be restricted to 2 stories - but they will still be highly visible approaching the site from any direction, and from a considerable distance from the south, from where there are currently NO buildings visible. They propose that 2.5 and 3 storey houses </w:t>
      </w:r>
      <w:r w:rsidRPr="000434AC">
        <w:rPr>
          <w:rFonts w:ascii="Calibri" w:hAnsi="Calibri" w:cs="Calibri"/>
          <w:sz w:val="24"/>
          <w:szCs w:val="24"/>
        </w:rPr>
        <w:t>are in</w:t>
      </w:r>
      <w:r w:rsidRPr="000434AC">
        <w:rPr>
          <w:rFonts w:ascii="Calibri" w:hAnsi="Calibri" w:cs="Calibri"/>
          <w:sz w:val="24"/>
          <w:szCs w:val="24"/>
        </w:rPr>
        <w:t xml:space="preserve"> the north of the site. And here they will over-shadow the existing bungalows on that side of Fildyke Road, which is an unacceptable invasion of privacy for the residents here.</w:t>
      </w:r>
    </w:p>
    <w:p w14:paraId="0ABB7107" w14:textId="50D60219" w:rsidR="000434AC" w:rsidRPr="000434AC" w:rsidRDefault="000434AC" w:rsidP="000434AC">
      <w:pPr>
        <w:rPr>
          <w:rFonts w:ascii="Calibri" w:hAnsi="Calibri" w:cs="Calibri"/>
          <w:sz w:val="24"/>
          <w:szCs w:val="24"/>
        </w:rPr>
      </w:pPr>
      <w:r w:rsidRPr="000434AC">
        <w:rPr>
          <w:rFonts w:ascii="Calibri" w:hAnsi="Calibri" w:cs="Calibri"/>
          <w:b/>
          <w:bCs/>
          <w:sz w:val="24"/>
          <w:szCs w:val="24"/>
        </w:rPr>
        <w:t>Highways issues</w:t>
      </w:r>
      <w:r w:rsidRPr="000434AC">
        <w:rPr>
          <w:rFonts w:ascii="Calibri" w:hAnsi="Calibri" w:cs="Calibri"/>
          <w:sz w:val="24"/>
          <w:szCs w:val="24"/>
        </w:rPr>
        <w:t xml:space="preserve">: Planning conditions restricting construction traffic over 3.5t from accessing via Coneygate, Gregory Close and the High Street will be unenforceable and place pedestrians at risk. The proposed access to the site for </w:t>
      </w:r>
      <w:r w:rsidRPr="000434AC">
        <w:rPr>
          <w:rFonts w:ascii="Calibri" w:hAnsi="Calibri" w:cs="Calibri"/>
          <w:sz w:val="24"/>
          <w:szCs w:val="24"/>
        </w:rPr>
        <w:t>construction</w:t>
      </w:r>
      <w:r w:rsidRPr="000434AC">
        <w:rPr>
          <w:rFonts w:ascii="Calibri" w:hAnsi="Calibri" w:cs="Calibri"/>
          <w:sz w:val="24"/>
          <w:szCs w:val="24"/>
        </w:rPr>
        <w:t xml:space="preserve"> traffic via Chapel Road and Stondon Road is not possible due </w:t>
      </w:r>
      <w:r w:rsidRPr="000434AC">
        <w:rPr>
          <w:rFonts w:ascii="Calibri" w:hAnsi="Calibri" w:cs="Calibri"/>
          <w:sz w:val="24"/>
          <w:szCs w:val="24"/>
        </w:rPr>
        <w:t xml:space="preserve">to </w:t>
      </w:r>
      <w:r w:rsidRPr="000434AC">
        <w:rPr>
          <w:rFonts w:ascii="Calibri" w:hAnsi="Calibri" w:cs="Calibri"/>
          <w:sz w:val="24"/>
          <w:szCs w:val="24"/>
        </w:rPr>
        <w:t xml:space="preserve">the rural setting of these roads with hedgerows and ditches either side and no current passing points.   The applicants traffic data has not been validated and therefore </w:t>
      </w:r>
      <w:r w:rsidRPr="000434AC">
        <w:rPr>
          <w:rFonts w:ascii="Calibri" w:hAnsi="Calibri" w:cs="Calibri"/>
          <w:sz w:val="24"/>
          <w:szCs w:val="24"/>
        </w:rPr>
        <w:t>should</w:t>
      </w:r>
      <w:r w:rsidRPr="000434AC">
        <w:rPr>
          <w:rFonts w:ascii="Calibri" w:hAnsi="Calibri" w:cs="Calibri"/>
          <w:sz w:val="24"/>
          <w:szCs w:val="24"/>
        </w:rPr>
        <w:t xml:space="preserve"> not be considered.  The </w:t>
      </w:r>
      <w:r w:rsidRPr="000434AC">
        <w:rPr>
          <w:rFonts w:ascii="Calibri" w:hAnsi="Calibri" w:cs="Calibri"/>
          <w:sz w:val="24"/>
          <w:szCs w:val="24"/>
        </w:rPr>
        <w:t>applicant’s</w:t>
      </w:r>
      <w:r w:rsidRPr="000434AC">
        <w:rPr>
          <w:rFonts w:ascii="Calibri" w:hAnsi="Calibri" w:cs="Calibri"/>
          <w:sz w:val="24"/>
          <w:szCs w:val="24"/>
        </w:rPr>
        <w:t xml:space="preserve"> addendum addresses access geometry, construction access, bus-stop works and parking surveys, but that does not establish compliance with Local Plan sustainable-transport policies T1 &amp; T2 The case remains vulnerable if walking, cycling, bus frequency, connectivity and cumulative traffic effects do not provide realistic alternatives to private-car travel.</w:t>
      </w:r>
    </w:p>
    <w:p w14:paraId="53EBD76F" w14:textId="77777777" w:rsidR="000434AC" w:rsidRPr="000434AC" w:rsidRDefault="000434AC" w:rsidP="000434AC">
      <w:pPr>
        <w:rPr>
          <w:rFonts w:ascii="Calibri" w:hAnsi="Calibri" w:cs="Calibri"/>
          <w:sz w:val="24"/>
          <w:szCs w:val="24"/>
        </w:rPr>
      </w:pPr>
      <w:r w:rsidRPr="000434AC">
        <w:rPr>
          <w:rFonts w:ascii="Calibri" w:hAnsi="Calibri" w:cs="Calibri"/>
          <w:b/>
          <w:bCs/>
          <w:sz w:val="24"/>
          <w:szCs w:val="24"/>
        </w:rPr>
        <w:t>Heritage issues:</w:t>
      </w:r>
      <w:r w:rsidRPr="000434AC">
        <w:rPr>
          <w:rFonts w:ascii="Calibri" w:hAnsi="Calibri" w:cs="Calibri"/>
          <w:sz w:val="24"/>
          <w:szCs w:val="24"/>
        </w:rPr>
        <w:t xml:space="preserve"> The revised heritage position accepts up to the “lowest level” of less-than-substantial harm to the Grade II Chapel and Chapel Farmhouse. That is a policy harm requiring clear and convincing justification and public benefits. The applicant’s claimed benefits, particularly market housing, should be given limited weight where they arise from a proposal that conflicts with the plan-led strategy.</w:t>
      </w:r>
    </w:p>
    <w:p w14:paraId="19B49884" w14:textId="5D2C0F30" w:rsidR="000434AC" w:rsidRPr="000434AC" w:rsidRDefault="000434AC" w:rsidP="000434AC">
      <w:pPr>
        <w:rPr>
          <w:rFonts w:ascii="Calibri" w:hAnsi="Calibri" w:cs="Calibri"/>
          <w:sz w:val="24"/>
          <w:szCs w:val="24"/>
        </w:rPr>
      </w:pPr>
      <w:r w:rsidRPr="000434AC">
        <w:rPr>
          <w:rFonts w:ascii="Calibri" w:hAnsi="Calibri" w:cs="Calibri"/>
          <w:b/>
          <w:bCs/>
          <w:sz w:val="24"/>
          <w:szCs w:val="24"/>
        </w:rPr>
        <w:lastRenderedPageBreak/>
        <w:t>Bat corridor and bat mitigation strategy plan</w:t>
      </w:r>
      <w:r w:rsidRPr="000434AC">
        <w:rPr>
          <w:rFonts w:ascii="Calibri" w:hAnsi="Calibri" w:cs="Calibri"/>
          <w:sz w:val="24"/>
          <w:szCs w:val="24"/>
        </w:rPr>
        <w:t xml:space="preserve">: Applicants plans continue not to provide a robust corridor without lighting to facilitate the known flight path </w:t>
      </w:r>
      <w:r w:rsidRPr="000434AC">
        <w:rPr>
          <w:rFonts w:ascii="Calibri" w:hAnsi="Calibri" w:cs="Calibri"/>
          <w:sz w:val="24"/>
          <w:szCs w:val="24"/>
        </w:rPr>
        <w:t>of our</w:t>
      </w:r>
      <w:r w:rsidRPr="000434AC">
        <w:rPr>
          <w:rFonts w:ascii="Calibri" w:hAnsi="Calibri" w:cs="Calibri"/>
          <w:sz w:val="24"/>
          <w:szCs w:val="24"/>
        </w:rPr>
        <w:t xml:space="preserve"> bats.  Insufficient detail in the plan fail to show that compliance must be implemented to allow a period of not less than 2 years prior to construction for the bats to settle and adjust to any change in habitat and flight path.  </w:t>
      </w:r>
    </w:p>
    <w:p w14:paraId="404BB59A" w14:textId="77777777" w:rsidR="000434AC" w:rsidRPr="000434AC" w:rsidRDefault="000434AC" w:rsidP="000434AC">
      <w:pPr>
        <w:rPr>
          <w:rFonts w:ascii="Calibri" w:hAnsi="Calibri" w:cs="Calibri"/>
          <w:sz w:val="24"/>
          <w:szCs w:val="24"/>
        </w:rPr>
      </w:pPr>
      <w:r w:rsidRPr="000434AC">
        <w:rPr>
          <w:rFonts w:ascii="Calibri" w:hAnsi="Calibri" w:cs="Calibri"/>
          <w:b/>
          <w:bCs/>
          <w:sz w:val="24"/>
          <w:szCs w:val="24"/>
        </w:rPr>
        <w:t>Outstanding wildlife issues:</w:t>
      </w:r>
      <w:r w:rsidRPr="000434AC">
        <w:rPr>
          <w:rFonts w:ascii="Calibri" w:hAnsi="Calibri" w:cs="Calibri"/>
          <w:sz w:val="24"/>
          <w:szCs w:val="24"/>
        </w:rPr>
        <w:t xml:space="preserve"> The application has no data on the </w:t>
      </w:r>
      <w:proofErr w:type="gramStart"/>
      <w:r w:rsidRPr="000434AC">
        <w:rPr>
          <w:rFonts w:ascii="Calibri" w:hAnsi="Calibri" w:cs="Calibri"/>
          <w:sz w:val="24"/>
          <w:szCs w:val="24"/>
        </w:rPr>
        <w:t>current status</w:t>
      </w:r>
      <w:proofErr w:type="gramEnd"/>
      <w:r w:rsidRPr="000434AC">
        <w:rPr>
          <w:rFonts w:ascii="Calibri" w:hAnsi="Calibri" w:cs="Calibri"/>
          <w:sz w:val="24"/>
          <w:szCs w:val="24"/>
        </w:rPr>
        <w:t xml:space="preserve"> of Great Crested Newts and water voles, despite their presence for the previous survey. Revised surveys must be completed prior to determination.  </w:t>
      </w:r>
    </w:p>
    <w:p w14:paraId="37C8A312" w14:textId="23E49C16" w:rsidR="000434AC" w:rsidRPr="000434AC" w:rsidRDefault="000434AC" w:rsidP="000434AC">
      <w:pPr>
        <w:rPr>
          <w:rFonts w:ascii="Calibri" w:hAnsi="Calibri" w:cs="Calibri"/>
          <w:sz w:val="24"/>
          <w:szCs w:val="24"/>
        </w:rPr>
      </w:pPr>
      <w:r w:rsidRPr="000434AC">
        <w:rPr>
          <w:rFonts w:ascii="Calibri" w:hAnsi="Calibri" w:cs="Calibri"/>
          <w:b/>
          <w:bCs/>
          <w:sz w:val="24"/>
          <w:szCs w:val="24"/>
        </w:rPr>
        <w:t>Sustainability:</w:t>
      </w:r>
      <w:r w:rsidRPr="000434AC">
        <w:rPr>
          <w:rFonts w:ascii="Calibri" w:hAnsi="Calibri" w:cs="Calibri"/>
          <w:sz w:val="24"/>
          <w:szCs w:val="24"/>
        </w:rPr>
        <w:t xml:space="preserve"> The addendum asserts social and economic benefits and refers to bus-stop upgrades, but it does not demonstrate that everyday services, education, healthcare, employment and public transport can sustainably accommodate 150 additional homes. </w:t>
      </w:r>
    </w:p>
    <w:p w14:paraId="2724C2A1" w14:textId="52A5E6C3" w:rsidR="000434AC" w:rsidRPr="000434AC" w:rsidRDefault="000434AC" w:rsidP="000434AC">
      <w:pPr>
        <w:rPr>
          <w:rFonts w:ascii="Calibri" w:hAnsi="Calibri" w:cs="Calibri"/>
          <w:color w:val="EE0000"/>
          <w:sz w:val="24"/>
          <w:szCs w:val="24"/>
        </w:rPr>
      </w:pPr>
      <w:r w:rsidRPr="000434AC">
        <w:rPr>
          <w:rFonts w:ascii="Calibri" w:hAnsi="Calibri" w:cs="Calibri"/>
          <w:sz w:val="24"/>
          <w:szCs w:val="24"/>
        </w:rPr>
        <w:t>Furthermore,</w:t>
      </w:r>
      <w:r w:rsidRPr="000434AC">
        <w:rPr>
          <w:rFonts w:ascii="Calibri" w:hAnsi="Calibri" w:cs="Calibri"/>
          <w:sz w:val="24"/>
          <w:szCs w:val="24"/>
        </w:rPr>
        <w:t xml:space="preserve"> I wish it noted that</w:t>
      </w:r>
      <w:proofErr w:type="gramStart"/>
      <w:r w:rsidRPr="000434AC">
        <w:rPr>
          <w:rFonts w:ascii="Calibri" w:hAnsi="Calibri" w:cs="Calibri"/>
          <w:color w:val="EE0000"/>
          <w:sz w:val="24"/>
          <w:szCs w:val="24"/>
        </w:rPr>
        <w:t>...(</w:t>
      </w:r>
      <w:proofErr w:type="gramEnd"/>
      <w:r w:rsidRPr="000434AC">
        <w:rPr>
          <w:rFonts w:ascii="Calibri" w:hAnsi="Calibri" w:cs="Calibri"/>
          <w:color w:val="EE0000"/>
          <w:sz w:val="24"/>
          <w:szCs w:val="24"/>
        </w:rPr>
        <w:t>if you have any other personal comments add them in here</w:t>
      </w:r>
      <w:r w:rsidRPr="000434AC">
        <w:rPr>
          <w:rFonts w:ascii="Calibri" w:hAnsi="Calibri" w:cs="Calibri"/>
          <w:color w:val="EE0000"/>
          <w:sz w:val="24"/>
          <w:szCs w:val="24"/>
        </w:rPr>
        <w:t xml:space="preserve"> but delete the wording in red</w:t>
      </w:r>
      <w:r w:rsidRPr="000434AC">
        <w:rPr>
          <w:rFonts w:ascii="Calibri" w:hAnsi="Calibri" w:cs="Calibri"/>
          <w:color w:val="EE0000"/>
          <w:sz w:val="24"/>
          <w:szCs w:val="24"/>
        </w:rPr>
        <w:t>)</w:t>
      </w:r>
    </w:p>
    <w:p w14:paraId="484B7334"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 </w:t>
      </w:r>
    </w:p>
    <w:p w14:paraId="118F6E21"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 </w:t>
      </w:r>
    </w:p>
    <w:p w14:paraId="4680B278" w14:textId="77777777" w:rsidR="000434AC" w:rsidRPr="000434AC" w:rsidRDefault="000434AC" w:rsidP="000434AC">
      <w:pPr>
        <w:rPr>
          <w:rFonts w:ascii="Calibri" w:hAnsi="Calibri" w:cs="Calibri"/>
          <w:sz w:val="24"/>
          <w:szCs w:val="24"/>
        </w:rPr>
      </w:pPr>
    </w:p>
    <w:p w14:paraId="524B6E33" w14:textId="77777777" w:rsidR="000434AC" w:rsidRPr="000434AC" w:rsidRDefault="000434AC" w:rsidP="000434AC">
      <w:pPr>
        <w:rPr>
          <w:rFonts w:ascii="Calibri" w:hAnsi="Calibri" w:cs="Calibri"/>
          <w:sz w:val="24"/>
          <w:szCs w:val="24"/>
        </w:rPr>
      </w:pPr>
    </w:p>
    <w:p w14:paraId="32CF74BE" w14:textId="77777777" w:rsidR="000434AC" w:rsidRPr="000434AC" w:rsidRDefault="000434AC" w:rsidP="000434AC">
      <w:pPr>
        <w:rPr>
          <w:rFonts w:ascii="Calibri" w:hAnsi="Calibri" w:cs="Calibri"/>
          <w:sz w:val="24"/>
          <w:szCs w:val="24"/>
        </w:rPr>
      </w:pPr>
    </w:p>
    <w:p w14:paraId="5BBE6B2C" w14:textId="77777777" w:rsidR="000434AC" w:rsidRPr="000434AC" w:rsidRDefault="000434AC" w:rsidP="000434AC">
      <w:pPr>
        <w:rPr>
          <w:rFonts w:ascii="Calibri" w:hAnsi="Calibri" w:cs="Calibri"/>
          <w:sz w:val="24"/>
          <w:szCs w:val="24"/>
        </w:rPr>
      </w:pPr>
    </w:p>
    <w:p w14:paraId="33226222" w14:textId="77777777" w:rsidR="000434AC" w:rsidRPr="000434AC" w:rsidRDefault="000434AC" w:rsidP="000434AC">
      <w:pPr>
        <w:rPr>
          <w:rFonts w:ascii="Calibri" w:hAnsi="Calibri" w:cs="Calibri"/>
          <w:sz w:val="24"/>
          <w:szCs w:val="24"/>
        </w:rPr>
      </w:pPr>
    </w:p>
    <w:p w14:paraId="491B8273"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 </w:t>
      </w:r>
    </w:p>
    <w:p w14:paraId="20C30690" w14:textId="6F301D65"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My Name:                       </w:t>
      </w:r>
    </w:p>
    <w:p w14:paraId="74DF8632"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My Address:  </w:t>
      </w:r>
    </w:p>
    <w:p w14:paraId="3E2C1BBC"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 </w:t>
      </w:r>
    </w:p>
    <w:p w14:paraId="3D30C09B" w14:textId="77777777" w:rsidR="000434AC" w:rsidRPr="000434AC" w:rsidRDefault="000434AC" w:rsidP="000434AC">
      <w:pPr>
        <w:rPr>
          <w:rFonts w:ascii="Calibri" w:hAnsi="Calibri" w:cs="Calibri"/>
          <w:sz w:val="24"/>
          <w:szCs w:val="24"/>
        </w:rPr>
      </w:pPr>
      <w:r w:rsidRPr="000434AC">
        <w:rPr>
          <w:rFonts w:ascii="Calibri" w:hAnsi="Calibri" w:cs="Calibri"/>
          <w:sz w:val="24"/>
          <w:szCs w:val="24"/>
        </w:rPr>
        <w:t xml:space="preserve"> </w:t>
      </w:r>
    </w:p>
    <w:p w14:paraId="1A9F6AED" w14:textId="1259D4D3" w:rsidR="00D764CA" w:rsidRPr="000434AC" w:rsidRDefault="000434AC" w:rsidP="000434AC">
      <w:pPr>
        <w:rPr>
          <w:rFonts w:ascii="Calibri" w:hAnsi="Calibri" w:cs="Calibri"/>
          <w:sz w:val="24"/>
          <w:szCs w:val="24"/>
        </w:rPr>
      </w:pPr>
      <w:r w:rsidRPr="000434AC">
        <w:rPr>
          <w:rFonts w:ascii="Calibri" w:hAnsi="Calibri" w:cs="Calibri"/>
          <w:sz w:val="24"/>
          <w:szCs w:val="24"/>
        </w:rPr>
        <w:t>Signed:                                                                                                              Date:</w:t>
      </w:r>
    </w:p>
    <w:sectPr w:rsidR="00D764CA" w:rsidRPr="000434AC" w:rsidSect="000434AC">
      <w:footerReference w:type="default" r:id="rId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F6982D" w14:textId="77777777" w:rsidR="00214A09" w:rsidRDefault="00214A09" w:rsidP="000434AC">
      <w:pPr>
        <w:spacing w:after="0" w:line="240" w:lineRule="auto"/>
      </w:pPr>
      <w:r>
        <w:separator/>
      </w:r>
    </w:p>
  </w:endnote>
  <w:endnote w:type="continuationSeparator" w:id="0">
    <w:p w14:paraId="08935AF6" w14:textId="77777777" w:rsidR="00214A09" w:rsidRDefault="00214A09" w:rsidP="00043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5331746"/>
      <w:docPartObj>
        <w:docPartGallery w:val="Page Numbers (Bottom of Page)"/>
        <w:docPartUnique/>
      </w:docPartObj>
    </w:sdtPr>
    <w:sdtEndPr>
      <w:rPr>
        <w:noProof/>
      </w:rPr>
    </w:sdtEndPr>
    <w:sdtContent>
      <w:p w14:paraId="541DA7EB" w14:textId="2ABA8637" w:rsidR="000434AC" w:rsidRDefault="000434A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B9B89CA" w14:textId="77777777" w:rsidR="000434AC" w:rsidRDefault="00043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0C77B" w14:textId="77777777" w:rsidR="00214A09" w:rsidRDefault="00214A09" w:rsidP="000434AC">
      <w:pPr>
        <w:spacing w:after="0" w:line="240" w:lineRule="auto"/>
      </w:pPr>
      <w:r>
        <w:separator/>
      </w:r>
    </w:p>
  </w:footnote>
  <w:footnote w:type="continuationSeparator" w:id="0">
    <w:p w14:paraId="0A56401D" w14:textId="77777777" w:rsidR="00214A09" w:rsidRDefault="00214A09" w:rsidP="000434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4AC"/>
    <w:rsid w:val="000434AC"/>
    <w:rsid w:val="00193E37"/>
    <w:rsid w:val="00214A09"/>
    <w:rsid w:val="003E318E"/>
    <w:rsid w:val="00590BF7"/>
    <w:rsid w:val="007C7F32"/>
    <w:rsid w:val="00B07370"/>
    <w:rsid w:val="00D13225"/>
    <w:rsid w:val="00D764CA"/>
    <w:rsid w:val="00EE7001"/>
    <w:rsid w:val="00FF5FB9"/>
    <w:rsid w:val="00FF6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F3364"/>
  <w15:chartTrackingRefBased/>
  <w15:docId w15:val="{F4D895BA-4560-4D0D-8530-6A6C245DB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34A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0434A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434AC"/>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434AC"/>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0434AC"/>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0434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34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34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34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4AC"/>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0434AC"/>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434AC"/>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434AC"/>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0434AC"/>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043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3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3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34AC"/>
    <w:rPr>
      <w:rFonts w:eastAsiaTheme="majorEastAsia" w:cstheme="majorBidi"/>
      <w:color w:val="272727" w:themeColor="text1" w:themeTint="D8"/>
    </w:rPr>
  </w:style>
  <w:style w:type="paragraph" w:styleId="Title">
    <w:name w:val="Title"/>
    <w:basedOn w:val="Normal"/>
    <w:next w:val="Normal"/>
    <w:link w:val="TitleChar"/>
    <w:uiPriority w:val="10"/>
    <w:qFormat/>
    <w:rsid w:val="00043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3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3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34AC"/>
    <w:pPr>
      <w:spacing w:before="160"/>
      <w:jc w:val="center"/>
    </w:pPr>
    <w:rPr>
      <w:i/>
      <w:iCs/>
      <w:color w:val="404040" w:themeColor="text1" w:themeTint="BF"/>
    </w:rPr>
  </w:style>
  <w:style w:type="character" w:customStyle="1" w:styleId="QuoteChar">
    <w:name w:val="Quote Char"/>
    <w:basedOn w:val="DefaultParagraphFont"/>
    <w:link w:val="Quote"/>
    <w:uiPriority w:val="29"/>
    <w:rsid w:val="000434AC"/>
    <w:rPr>
      <w:i/>
      <w:iCs/>
      <w:color w:val="404040" w:themeColor="text1" w:themeTint="BF"/>
    </w:rPr>
  </w:style>
  <w:style w:type="paragraph" w:styleId="ListParagraph">
    <w:name w:val="List Paragraph"/>
    <w:basedOn w:val="Normal"/>
    <w:uiPriority w:val="34"/>
    <w:qFormat/>
    <w:rsid w:val="000434AC"/>
    <w:pPr>
      <w:ind w:left="720"/>
      <w:contextualSpacing/>
    </w:pPr>
  </w:style>
  <w:style w:type="character" w:styleId="IntenseEmphasis">
    <w:name w:val="Intense Emphasis"/>
    <w:basedOn w:val="DefaultParagraphFont"/>
    <w:uiPriority w:val="21"/>
    <w:qFormat/>
    <w:rsid w:val="000434AC"/>
    <w:rPr>
      <w:i/>
      <w:iCs/>
      <w:color w:val="2E74B5" w:themeColor="accent1" w:themeShade="BF"/>
    </w:rPr>
  </w:style>
  <w:style w:type="paragraph" w:styleId="IntenseQuote">
    <w:name w:val="Intense Quote"/>
    <w:basedOn w:val="Normal"/>
    <w:next w:val="Normal"/>
    <w:link w:val="IntenseQuoteChar"/>
    <w:uiPriority w:val="30"/>
    <w:qFormat/>
    <w:rsid w:val="000434A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0434AC"/>
    <w:rPr>
      <w:i/>
      <w:iCs/>
      <w:color w:val="2E74B5" w:themeColor="accent1" w:themeShade="BF"/>
    </w:rPr>
  </w:style>
  <w:style w:type="character" w:styleId="IntenseReference">
    <w:name w:val="Intense Reference"/>
    <w:basedOn w:val="DefaultParagraphFont"/>
    <w:uiPriority w:val="32"/>
    <w:qFormat/>
    <w:rsid w:val="000434AC"/>
    <w:rPr>
      <w:b/>
      <w:bCs/>
      <w:smallCaps/>
      <w:color w:val="2E74B5" w:themeColor="accent1" w:themeShade="BF"/>
      <w:spacing w:val="5"/>
    </w:rPr>
  </w:style>
  <w:style w:type="paragraph" w:styleId="BodyText2">
    <w:name w:val="Body Text 2"/>
    <w:basedOn w:val="Normal"/>
    <w:link w:val="BodyText2Char"/>
    <w:semiHidden/>
    <w:rsid w:val="000434AC"/>
    <w:pPr>
      <w:spacing w:after="0" w:line="240" w:lineRule="auto"/>
      <w:jc w:val="center"/>
    </w:pPr>
    <w:rPr>
      <w:rFonts w:ascii="Arial Black" w:eastAsia="Times New Roman" w:hAnsi="Arial Black" w:cs="Times New Roman"/>
      <w:kern w:val="0"/>
      <w:sz w:val="16"/>
      <w:szCs w:val="20"/>
      <w14:ligatures w14:val="none"/>
    </w:rPr>
  </w:style>
  <w:style w:type="character" w:customStyle="1" w:styleId="BodyText2Char">
    <w:name w:val="Body Text 2 Char"/>
    <w:basedOn w:val="DefaultParagraphFont"/>
    <w:link w:val="BodyText2"/>
    <w:semiHidden/>
    <w:rsid w:val="000434AC"/>
    <w:rPr>
      <w:rFonts w:ascii="Arial Black" w:eastAsia="Times New Roman" w:hAnsi="Arial Black" w:cs="Times New Roman"/>
      <w:kern w:val="0"/>
      <w:sz w:val="16"/>
      <w:szCs w:val="20"/>
      <w14:ligatures w14:val="none"/>
    </w:rPr>
  </w:style>
  <w:style w:type="paragraph" w:styleId="Header">
    <w:name w:val="header"/>
    <w:basedOn w:val="Normal"/>
    <w:link w:val="HeaderChar"/>
    <w:uiPriority w:val="99"/>
    <w:unhideWhenUsed/>
    <w:rsid w:val="000434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434AC"/>
  </w:style>
  <w:style w:type="paragraph" w:styleId="Footer">
    <w:name w:val="footer"/>
    <w:basedOn w:val="Normal"/>
    <w:link w:val="FooterChar"/>
    <w:uiPriority w:val="99"/>
    <w:unhideWhenUsed/>
    <w:rsid w:val="000434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43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607</Words>
  <Characters>3465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Marabese</dc:creator>
  <cp:keywords/>
  <dc:description/>
  <cp:lastModifiedBy>Alessandra Marabese</cp:lastModifiedBy>
  <cp:revision>1</cp:revision>
  <dcterms:created xsi:type="dcterms:W3CDTF">2026-10-26T16:25:00Z</dcterms:created>
  <dcterms:modified xsi:type="dcterms:W3CDTF">2026-10-26T16:48:00Z</dcterms:modified>
</cp:coreProperties>
</file>